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CB1C33" w:rsidRPr="00CB1C33" w:rsidRDefault="00CB1C33" w:rsidP="00CB1C33">
      <w:pPr>
        <w:spacing w:after="42" w:line="240" w:lineRule="auto"/>
        <w:jc w:val="center"/>
        <w:rPr>
          <w:rFonts w:ascii="Arial" w:eastAsia="Times New Roman" w:hAnsi="Arial" w:cs="Arial"/>
          <w:b/>
          <w:sz w:val="18"/>
          <w:szCs w:val="24"/>
          <w:lang w:val="es-ES" w:eastAsia="es-ES"/>
        </w:rPr>
      </w:pPr>
      <w:r w:rsidRPr="00CB1C33">
        <w:rPr>
          <w:rFonts w:ascii="Arial" w:eastAsia="Times New Roman" w:hAnsi="Arial" w:cs="Arial"/>
          <w:b/>
          <w:sz w:val="18"/>
          <w:szCs w:val="24"/>
          <w:lang w:val="es-ES" w:eastAsia="es-ES"/>
        </w:rPr>
        <w:t>DEL ACTO DE PRESENTACIÓN Y APERTURA DE PROPOSICIONES</w:t>
      </w:r>
    </w:p>
    <w:p w:rsidR="00CB1C33" w:rsidRPr="00CB1C33" w:rsidRDefault="00CB1C33" w:rsidP="00CB1C33">
      <w:pPr>
        <w:spacing w:after="42" w:line="240" w:lineRule="auto"/>
        <w:ind w:firstLine="288"/>
        <w:jc w:val="both"/>
        <w:rPr>
          <w:rFonts w:ascii="Arial" w:eastAsia="Times New Roman" w:hAnsi="Arial" w:cs="Arial"/>
          <w:sz w:val="18"/>
          <w:szCs w:val="20"/>
          <w:lang w:val="es-ES" w:eastAsia="es-ES"/>
        </w:rPr>
      </w:pPr>
      <w:r w:rsidRPr="00CB1C33">
        <w:rPr>
          <w:rFonts w:ascii="Arial" w:eastAsia="Times New Roman" w:hAnsi="Arial" w:cs="Arial"/>
          <w:b/>
          <w:sz w:val="18"/>
          <w:szCs w:val="20"/>
          <w:lang w:val="es-ES" w:eastAsia="es-ES"/>
        </w:rPr>
        <w:t>Artículo 59.-</w:t>
      </w:r>
      <w:r w:rsidRPr="00CB1C33">
        <w:rPr>
          <w:rFonts w:ascii="Arial" w:eastAsia="Times New Roman" w:hAnsi="Arial" w:cs="Arial"/>
          <w:sz w:val="18"/>
          <w:szCs w:val="20"/>
          <w:lang w:val="es-ES" w:eastAsia="es-ES"/>
        </w:rPr>
        <w:t xml:space="preserve"> Las proposiciones que se reciban en el acto de presentación y apertura de las mismas serán revisadas sólo para el efecto de hacer constar la documentación presentada por los licitantes, sin entrar a su análisis técnico, legal o administrativo.</w:t>
      </w:r>
    </w:p>
    <w:p w:rsidR="00CB1C33" w:rsidRPr="00CB1C33" w:rsidRDefault="00CB1C33" w:rsidP="00CB1C33">
      <w:pPr>
        <w:spacing w:after="42" w:line="240" w:lineRule="auto"/>
        <w:ind w:firstLine="288"/>
        <w:jc w:val="both"/>
        <w:rPr>
          <w:rFonts w:ascii="Arial" w:eastAsia="Times New Roman" w:hAnsi="Arial" w:cs="Arial"/>
          <w:sz w:val="18"/>
          <w:szCs w:val="20"/>
          <w:lang w:val="es-ES_tradnl" w:eastAsia="es-ES"/>
        </w:rPr>
      </w:pPr>
      <w:r w:rsidRPr="00CB1C33">
        <w:rPr>
          <w:rFonts w:ascii="Arial" w:eastAsia="Times New Roman" w:hAnsi="Arial" w:cs="Arial"/>
          <w:sz w:val="18"/>
          <w:szCs w:val="20"/>
          <w:lang w:val="es-ES_tradnl" w:eastAsia="es-ES"/>
        </w:rPr>
        <w:t xml:space="preserve">Los licitantes son los únicos responsables de que sus proposiciones sean entregadas en tiempo y forma en el acto de presentación y apertura de proposiciones. No será motivo de descalificación la falta de identificación o de </w:t>
      </w:r>
      <w:proofErr w:type="spellStart"/>
      <w:r w:rsidRPr="00CB1C33">
        <w:rPr>
          <w:rFonts w:ascii="Arial" w:eastAsia="Times New Roman" w:hAnsi="Arial" w:cs="Arial"/>
          <w:sz w:val="18"/>
          <w:szCs w:val="20"/>
          <w:lang w:val="es-ES_tradnl" w:eastAsia="es-ES"/>
        </w:rPr>
        <w:t>acreditamiento</w:t>
      </w:r>
      <w:proofErr w:type="spellEnd"/>
      <w:r w:rsidRPr="00CB1C33">
        <w:rPr>
          <w:rFonts w:ascii="Arial" w:eastAsia="Times New Roman" w:hAnsi="Arial" w:cs="Arial"/>
          <w:sz w:val="18"/>
          <w:szCs w:val="20"/>
          <w:lang w:val="es-ES_tradnl" w:eastAsia="es-ES"/>
        </w:rPr>
        <w:t xml:space="preserve"> de la representación de la persona que únicamente entregue la proposición, pero sólo podrá participar durante el desarrollo del acto con el carácter de observador.</w:t>
      </w:r>
    </w:p>
    <w:p w:rsidR="00CB1C33" w:rsidRPr="00CB1C33" w:rsidRDefault="00CB1C33" w:rsidP="00CB1C33">
      <w:pPr>
        <w:spacing w:after="42" w:line="240" w:lineRule="auto"/>
        <w:ind w:firstLine="288"/>
        <w:jc w:val="both"/>
        <w:rPr>
          <w:rFonts w:ascii="Arial" w:eastAsia="Times New Roman" w:hAnsi="Arial" w:cs="Arial"/>
          <w:sz w:val="18"/>
          <w:szCs w:val="20"/>
          <w:lang w:val="es-ES" w:eastAsia="es-ES"/>
        </w:rPr>
      </w:pPr>
      <w:r w:rsidRPr="00CB1C33">
        <w:rPr>
          <w:rFonts w:ascii="Arial" w:eastAsia="Times New Roman" w:hAnsi="Arial" w:cs="Arial"/>
          <w:b/>
          <w:sz w:val="18"/>
          <w:szCs w:val="20"/>
          <w:lang w:val="es-ES" w:eastAsia="es-ES"/>
        </w:rPr>
        <w:t>Artículo 60.-</w:t>
      </w:r>
      <w:r w:rsidRPr="00CB1C33">
        <w:rPr>
          <w:rFonts w:ascii="Arial" w:eastAsia="Times New Roman" w:hAnsi="Arial" w:cs="Arial"/>
          <w:sz w:val="18"/>
          <w:szCs w:val="20"/>
          <w:lang w:val="es-ES" w:eastAsia="es-ES"/>
        </w:rPr>
        <w:t xml:space="preserve"> El Sobre cerrado que contenga la proposición de los licitantes deberá entregarse en la forma y medios que prevea la convocatoria a la licitación pública.</w:t>
      </w:r>
    </w:p>
    <w:p w:rsidR="00CB1C33" w:rsidRPr="00CB1C33" w:rsidRDefault="00CB1C33" w:rsidP="00CB1C33">
      <w:pPr>
        <w:spacing w:after="42" w:line="240" w:lineRule="auto"/>
        <w:ind w:firstLine="288"/>
        <w:jc w:val="both"/>
        <w:rPr>
          <w:rFonts w:ascii="Arial" w:eastAsia="Times New Roman" w:hAnsi="Arial" w:cs="Arial"/>
          <w:sz w:val="18"/>
          <w:szCs w:val="20"/>
          <w:lang w:val="es-ES" w:eastAsia="es-ES"/>
        </w:rPr>
      </w:pPr>
      <w:r w:rsidRPr="00CB1C33">
        <w:rPr>
          <w:rFonts w:ascii="Arial" w:eastAsia="Times New Roman" w:hAnsi="Arial" w:cs="Arial"/>
          <w:sz w:val="18"/>
          <w:szCs w:val="20"/>
          <w:lang w:val="es-ES" w:eastAsia="es-ES"/>
        </w:rPr>
        <w:t>El acto de presentación y apertura de proposiciones será presidido por el titular del Área responsable de la contratación o por el servidor público que éste designe, quien será el único facultado para tomar todas las decisiones durante la realización del acto, en los términos de la Ley y este Reglamento.</w:t>
      </w:r>
    </w:p>
    <w:p w:rsidR="00CB1C33" w:rsidRPr="00CB1C33" w:rsidRDefault="00CB1C33" w:rsidP="00CB1C33">
      <w:pPr>
        <w:spacing w:after="42" w:line="240" w:lineRule="auto"/>
        <w:ind w:firstLine="288"/>
        <w:jc w:val="both"/>
        <w:rPr>
          <w:rFonts w:ascii="Arial" w:eastAsia="Times New Roman" w:hAnsi="Arial" w:cs="Arial"/>
          <w:sz w:val="18"/>
          <w:szCs w:val="20"/>
          <w:lang w:val="es-ES" w:eastAsia="es-ES"/>
        </w:rPr>
      </w:pPr>
      <w:r w:rsidRPr="00CB1C33">
        <w:rPr>
          <w:rFonts w:ascii="Arial" w:eastAsia="Times New Roman" w:hAnsi="Arial" w:cs="Arial"/>
          <w:sz w:val="18"/>
          <w:szCs w:val="20"/>
          <w:lang w:val="es-ES" w:eastAsia="es-ES"/>
        </w:rPr>
        <w:t>Cuando la convocante determine efectuar, previamente al acto de presentación y apertura de proposiciones, la revisión preliminar a que se refiere el penúltimo párrafo del artículo 36 de la Ley, deberá realizar tal actividad por lo menos treinta minutos antes de la hora señalada para el inicio de dicho acto.</w:t>
      </w:r>
    </w:p>
    <w:p w:rsidR="00CB1C33" w:rsidRPr="00CB1C33" w:rsidRDefault="00CB1C33" w:rsidP="00CB1C33">
      <w:pPr>
        <w:spacing w:after="42" w:line="240" w:lineRule="auto"/>
        <w:ind w:firstLine="288"/>
        <w:jc w:val="both"/>
        <w:rPr>
          <w:rFonts w:ascii="Arial" w:eastAsia="Times New Roman" w:hAnsi="Arial" w:cs="Arial"/>
          <w:sz w:val="18"/>
          <w:szCs w:val="20"/>
          <w:lang w:val="es-ES" w:eastAsia="es-ES"/>
        </w:rPr>
      </w:pPr>
      <w:r w:rsidRPr="00CB1C33">
        <w:rPr>
          <w:rFonts w:ascii="Arial" w:eastAsia="Times New Roman" w:hAnsi="Arial" w:cs="Arial"/>
          <w:sz w:val="18"/>
          <w:szCs w:val="20"/>
          <w:lang w:val="es-ES" w:eastAsia="es-ES"/>
        </w:rPr>
        <w:t>A partir de la hora señalada para el inicio del acto de presentación y apertura de proposiciones, el servidor público que lo presida no deberá permitir el acceso a ningún licitante ni observador, o servidor público ajeno al acto. Una vez iniciado el acto, se procederá a registrar a los asistentes, salvo aquéllos que ya se hubieren registrado en los términos del párrafo anterior, en cuyo caso se pasará lista a los mismos.</w:t>
      </w:r>
    </w:p>
    <w:p w:rsidR="00CB1C33" w:rsidRPr="00CB1C33" w:rsidRDefault="00CB1C33" w:rsidP="00CB1C33">
      <w:pPr>
        <w:spacing w:after="42" w:line="240" w:lineRule="auto"/>
        <w:ind w:firstLine="288"/>
        <w:jc w:val="both"/>
        <w:rPr>
          <w:rFonts w:ascii="Arial" w:eastAsia="Times New Roman" w:hAnsi="Arial" w:cs="Arial"/>
          <w:sz w:val="18"/>
          <w:szCs w:val="20"/>
          <w:lang w:val="es-ES" w:eastAsia="es-ES"/>
        </w:rPr>
      </w:pPr>
      <w:r w:rsidRPr="00CB1C33">
        <w:rPr>
          <w:rFonts w:ascii="Arial" w:eastAsia="Times New Roman" w:hAnsi="Arial" w:cs="Arial"/>
          <w:sz w:val="18"/>
          <w:szCs w:val="20"/>
          <w:lang w:val="es-ES" w:eastAsia="es-ES"/>
        </w:rPr>
        <w:t xml:space="preserve">Los licitantes presentes deberán entregar su proposición en Sobre cerrado al servidor público que presida el acto. Los licitantes que participen por medios electrónicos, entregarán su proposición a través de </w:t>
      </w:r>
      <w:proofErr w:type="spellStart"/>
      <w:r w:rsidRPr="00CB1C33">
        <w:rPr>
          <w:rFonts w:ascii="Arial" w:eastAsia="Times New Roman" w:hAnsi="Arial" w:cs="Arial"/>
          <w:sz w:val="18"/>
          <w:szCs w:val="20"/>
          <w:lang w:val="es-ES" w:eastAsia="es-ES"/>
        </w:rPr>
        <w:t>CompraNet</w:t>
      </w:r>
      <w:proofErr w:type="spellEnd"/>
      <w:r w:rsidRPr="00CB1C33">
        <w:rPr>
          <w:rFonts w:ascii="Arial" w:eastAsia="Times New Roman" w:hAnsi="Arial" w:cs="Arial"/>
          <w:sz w:val="18"/>
          <w:szCs w:val="20"/>
          <w:lang w:val="es-ES" w:eastAsia="es-ES"/>
        </w:rPr>
        <w:t>.</w:t>
      </w:r>
    </w:p>
    <w:p w:rsidR="00CB1C33" w:rsidRPr="00CB1C33" w:rsidRDefault="00CB1C33" w:rsidP="00CB1C33">
      <w:pPr>
        <w:spacing w:after="42" w:line="240" w:lineRule="auto"/>
        <w:ind w:firstLine="288"/>
        <w:jc w:val="both"/>
        <w:rPr>
          <w:rFonts w:ascii="Arial" w:eastAsia="Times New Roman" w:hAnsi="Arial" w:cs="Arial"/>
          <w:sz w:val="18"/>
          <w:szCs w:val="20"/>
          <w:lang w:val="es-ES" w:eastAsia="es-ES"/>
        </w:rPr>
      </w:pPr>
      <w:r w:rsidRPr="00CB1C33">
        <w:rPr>
          <w:rFonts w:ascii="Arial" w:eastAsia="Times New Roman" w:hAnsi="Arial" w:cs="Arial"/>
          <w:sz w:val="18"/>
          <w:szCs w:val="20"/>
          <w:lang w:val="es-ES" w:eastAsia="es-ES"/>
        </w:rPr>
        <w:t xml:space="preserve">El servidor público que presida el acto de presentación y apertura de proposiciones tomará las previsiones necesarias para recibir simultáneamente las proposiciones de los licitantes que presentaron su proposición en el propio acto y de las entregadas a través de </w:t>
      </w:r>
      <w:proofErr w:type="spellStart"/>
      <w:r w:rsidRPr="00CB1C33">
        <w:rPr>
          <w:rFonts w:ascii="Arial" w:eastAsia="Times New Roman" w:hAnsi="Arial" w:cs="Arial"/>
          <w:sz w:val="18"/>
          <w:szCs w:val="20"/>
          <w:lang w:val="es-ES" w:eastAsia="es-ES"/>
        </w:rPr>
        <w:t>CompraNet</w:t>
      </w:r>
      <w:proofErr w:type="spellEnd"/>
      <w:r w:rsidRPr="00CB1C33">
        <w:rPr>
          <w:rFonts w:ascii="Arial" w:eastAsia="Times New Roman" w:hAnsi="Arial" w:cs="Arial"/>
          <w:sz w:val="18"/>
          <w:szCs w:val="20"/>
          <w:lang w:val="es-ES" w:eastAsia="es-ES"/>
        </w:rPr>
        <w:t xml:space="preserve">; asimismo, determinará si la apertura de los sobres iniciará con los que fueron recibidos en el acto o por los entregados a través de </w:t>
      </w:r>
      <w:proofErr w:type="spellStart"/>
      <w:r w:rsidRPr="00CB1C33">
        <w:rPr>
          <w:rFonts w:ascii="Arial" w:eastAsia="Times New Roman" w:hAnsi="Arial" w:cs="Arial"/>
          <w:sz w:val="18"/>
          <w:szCs w:val="20"/>
          <w:lang w:val="es-ES" w:eastAsia="es-ES"/>
        </w:rPr>
        <w:t>CompraNet</w:t>
      </w:r>
      <w:proofErr w:type="spellEnd"/>
      <w:r w:rsidRPr="00CB1C33">
        <w:rPr>
          <w:rFonts w:ascii="Arial" w:eastAsia="Times New Roman" w:hAnsi="Arial" w:cs="Arial"/>
          <w:sz w:val="18"/>
          <w:szCs w:val="20"/>
          <w:lang w:val="es-ES" w:eastAsia="es-ES"/>
        </w:rPr>
        <w:t>. El acto no podrá concluir hasta en tanto se hayan abierto todos los sobres recibidos.</w:t>
      </w:r>
    </w:p>
    <w:p w:rsidR="00CB1C33" w:rsidRPr="00CB1C33" w:rsidRDefault="00CB1C33" w:rsidP="00CB1C33">
      <w:pPr>
        <w:spacing w:after="42" w:line="240" w:lineRule="auto"/>
        <w:ind w:firstLine="288"/>
        <w:jc w:val="both"/>
        <w:rPr>
          <w:rFonts w:ascii="Arial" w:eastAsia="Times New Roman" w:hAnsi="Arial" w:cs="Arial"/>
          <w:sz w:val="18"/>
          <w:szCs w:val="20"/>
          <w:lang w:val="es-ES" w:eastAsia="es-ES"/>
        </w:rPr>
      </w:pPr>
      <w:r w:rsidRPr="00CB1C33">
        <w:rPr>
          <w:rFonts w:ascii="Arial" w:eastAsia="Times New Roman" w:hAnsi="Arial" w:cs="Arial"/>
          <w:sz w:val="18"/>
          <w:szCs w:val="20"/>
          <w:lang w:val="es-ES" w:eastAsia="es-ES"/>
        </w:rPr>
        <w:t>Para los efectos de la fracción II del artículo 37 de la Ley, tratándose de contratos sobre la base de precios unitarios se rubricará el catálogo de conceptos; para los contratos a precio alzado, se rubricará el presupuesto de obra, y por lo que hace a los contratos mixtos, deberán rubricarse ambos documentos.</w:t>
      </w:r>
    </w:p>
    <w:p w:rsidR="00CB1C33" w:rsidRPr="00CB1C33" w:rsidRDefault="00CB1C33" w:rsidP="00CB1C33">
      <w:pPr>
        <w:spacing w:after="42" w:line="240" w:lineRule="auto"/>
        <w:ind w:firstLine="288"/>
        <w:jc w:val="both"/>
        <w:rPr>
          <w:rFonts w:ascii="Arial" w:eastAsia="Times New Roman" w:hAnsi="Arial" w:cs="Arial"/>
          <w:sz w:val="18"/>
          <w:szCs w:val="20"/>
          <w:lang w:val="es-ES" w:eastAsia="es-ES"/>
        </w:rPr>
      </w:pPr>
      <w:r w:rsidRPr="00CB1C33">
        <w:rPr>
          <w:rFonts w:ascii="Arial" w:eastAsia="Times New Roman" w:hAnsi="Arial" w:cs="Arial"/>
          <w:sz w:val="18"/>
          <w:szCs w:val="20"/>
          <w:lang w:val="es-ES" w:eastAsia="es-ES"/>
        </w:rPr>
        <w:t>En el acta respectiva al acto de presentación y apertura de proposiciones se asentarán las manifestaciones que, en su caso, emitan los licitantes con relación a dicho acto.</w:t>
      </w:r>
    </w:p>
    <w:p w:rsidR="00CB1C33" w:rsidRPr="00CB1C33" w:rsidRDefault="00CB1C33" w:rsidP="00CB1C33">
      <w:pPr>
        <w:spacing w:after="42" w:line="240" w:lineRule="auto"/>
        <w:ind w:firstLine="288"/>
        <w:jc w:val="both"/>
        <w:rPr>
          <w:rFonts w:ascii="Arial" w:eastAsia="Times New Roman" w:hAnsi="Arial" w:cs="Arial"/>
          <w:sz w:val="18"/>
          <w:szCs w:val="24"/>
          <w:lang w:val="es-ES" w:eastAsia="es-ES"/>
        </w:rPr>
      </w:pPr>
      <w:r w:rsidRPr="00CB1C33">
        <w:rPr>
          <w:rFonts w:ascii="Arial" w:eastAsia="Times New Roman" w:hAnsi="Arial" w:cs="Arial"/>
          <w:b/>
          <w:sz w:val="18"/>
          <w:szCs w:val="24"/>
          <w:lang w:val="es-ES" w:eastAsia="es-ES"/>
        </w:rPr>
        <w:t>Artículo 61.-</w:t>
      </w:r>
      <w:r w:rsidRPr="00CB1C33">
        <w:rPr>
          <w:rFonts w:ascii="Arial" w:eastAsia="Times New Roman" w:hAnsi="Arial" w:cs="Arial"/>
          <w:sz w:val="18"/>
          <w:szCs w:val="24"/>
          <w:lang w:val="es-ES" w:eastAsia="es-ES"/>
        </w:rPr>
        <w:t xml:space="preserve"> Durante el desarrollo del acto de presentación y apertura de proposiciones se observará lo siguiente:</w:t>
      </w:r>
    </w:p>
    <w:p w:rsidR="00CB1C33" w:rsidRPr="00CB1C33" w:rsidRDefault="00CB1C33" w:rsidP="00CB1C33">
      <w:pPr>
        <w:spacing w:after="42" w:line="240" w:lineRule="auto"/>
        <w:ind w:left="864" w:hanging="576"/>
        <w:jc w:val="both"/>
        <w:rPr>
          <w:rFonts w:ascii="Arial" w:eastAsia="Times New Roman" w:hAnsi="Arial" w:cs="Arial"/>
          <w:sz w:val="18"/>
          <w:szCs w:val="20"/>
          <w:lang w:val="es-ES" w:eastAsia="es-ES"/>
        </w:rPr>
      </w:pPr>
      <w:r w:rsidRPr="00CB1C33">
        <w:rPr>
          <w:rFonts w:ascii="Arial" w:eastAsia="Times New Roman" w:hAnsi="Arial" w:cs="Arial"/>
          <w:b/>
          <w:sz w:val="18"/>
          <w:szCs w:val="20"/>
          <w:lang w:val="es-ES" w:eastAsia="es-ES"/>
        </w:rPr>
        <w:t>I.</w:t>
      </w:r>
      <w:r w:rsidRPr="00CB1C33">
        <w:rPr>
          <w:rFonts w:ascii="Arial" w:eastAsia="Times New Roman" w:hAnsi="Arial" w:cs="Arial"/>
          <w:b/>
          <w:sz w:val="18"/>
          <w:szCs w:val="20"/>
          <w:lang w:val="es-ES" w:eastAsia="es-ES"/>
        </w:rPr>
        <w:tab/>
      </w:r>
      <w:r w:rsidRPr="00CB1C33">
        <w:rPr>
          <w:rFonts w:ascii="Arial" w:eastAsia="Times New Roman" w:hAnsi="Arial" w:cs="Arial"/>
          <w:sz w:val="18"/>
          <w:szCs w:val="20"/>
          <w:lang w:val="es-ES" w:eastAsia="es-ES"/>
        </w:rPr>
        <w:t>Para efectos de dejar constancia del cumplimiento de los requisitos solicitados en la convocatoria a la licitación pública, la convocante anotará en el formato a que se refiere la fracción IX del artículo 34 de este Reglamento los documentos entregados por el licitante, relacionándolos con los puntos específicos de la convocatoria a la licitación pública en los que se solicitan;</w:t>
      </w:r>
    </w:p>
    <w:p w:rsidR="00CB1C33" w:rsidRPr="00CB1C33" w:rsidRDefault="00CB1C33" w:rsidP="00CB1C33">
      <w:pPr>
        <w:spacing w:after="42" w:line="240" w:lineRule="auto"/>
        <w:ind w:left="864" w:hanging="576"/>
        <w:jc w:val="both"/>
        <w:rPr>
          <w:rFonts w:ascii="Arial" w:eastAsia="Times New Roman" w:hAnsi="Arial" w:cs="Arial"/>
          <w:sz w:val="18"/>
          <w:szCs w:val="20"/>
          <w:lang w:val="es-ES" w:eastAsia="es-ES"/>
        </w:rPr>
      </w:pPr>
      <w:r w:rsidRPr="00CB1C33">
        <w:rPr>
          <w:rFonts w:ascii="Arial" w:eastAsia="Times New Roman" w:hAnsi="Arial" w:cs="Arial"/>
          <w:b/>
          <w:sz w:val="18"/>
          <w:szCs w:val="20"/>
          <w:lang w:val="es-ES" w:eastAsia="es-ES"/>
        </w:rPr>
        <w:t>II.</w:t>
      </w:r>
      <w:r w:rsidRPr="00CB1C33">
        <w:rPr>
          <w:rFonts w:ascii="Arial" w:eastAsia="Times New Roman" w:hAnsi="Arial" w:cs="Arial"/>
          <w:b/>
          <w:sz w:val="18"/>
          <w:szCs w:val="20"/>
          <w:lang w:val="es-ES" w:eastAsia="es-ES"/>
        </w:rPr>
        <w:tab/>
      </w:r>
      <w:r w:rsidRPr="00CB1C33">
        <w:rPr>
          <w:rFonts w:ascii="Arial" w:eastAsia="Times New Roman" w:hAnsi="Arial" w:cs="Arial"/>
          <w:sz w:val="18"/>
          <w:szCs w:val="20"/>
          <w:lang w:val="es-ES" w:eastAsia="es-ES"/>
        </w:rPr>
        <w:t xml:space="preserve">El formato a que se refiere la fracción anterior servirá a cada participante como constancia de recepción de la documentación que entregue en este acto, asentándose dicha recepción en el acta respectiva o anexándose copia de la constancia entregada a cada licitante. La falta de presentación del formato no será motivo de </w:t>
      </w:r>
      <w:proofErr w:type="spellStart"/>
      <w:r w:rsidRPr="00CB1C33">
        <w:rPr>
          <w:rFonts w:ascii="Arial" w:eastAsia="Times New Roman" w:hAnsi="Arial" w:cs="Arial"/>
          <w:sz w:val="18"/>
          <w:szCs w:val="20"/>
          <w:lang w:val="es-ES" w:eastAsia="es-ES"/>
        </w:rPr>
        <w:t>desechamiento</w:t>
      </w:r>
      <w:proofErr w:type="spellEnd"/>
      <w:r w:rsidRPr="00CB1C33">
        <w:rPr>
          <w:rFonts w:ascii="Arial" w:eastAsia="Times New Roman" w:hAnsi="Arial" w:cs="Arial"/>
          <w:sz w:val="18"/>
          <w:szCs w:val="20"/>
          <w:lang w:val="es-ES" w:eastAsia="es-ES"/>
        </w:rPr>
        <w:t xml:space="preserve"> y se extenderá un acuse de recibo de la documentación que entregue el licitante en dicho acto;</w:t>
      </w:r>
    </w:p>
    <w:p w:rsidR="00CB1C33" w:rsidRPr="00CB1C33" w:rsidRDefault="00CB1C33" w:rsidP="00CB1C33">
      <w:pPr>
        <w:spacing w:after="42" w:line="240" w:lineRule="auto"/>
        <w:ind w:left="864" w:hanging="576"/>
        <w:jc w:val="both"/>
        <w:rPr>
          <w:rFonts w:ascii="Arial" w:eastAsia="Times New Roman" w:hAnsi="Arial" w:cs="Arial"/>
          <w:sz w:val="18"/>
          <w:szCs w:val="20"/>
          <w:lang w:val="es-ES" w:eastAsia="es-ES"/>
        </w:rPr>
      </w:pPr>
      <w:r w:rsidRPr="00CB1C33">
        <w:rPr>
          <w:rFonts w:ascii="Arial" w:eastAsia="Times New Roman" w:hAnsi="Arial" w:cs="Arial"/>
          <w:b/>
          <w:sz w:val="18"/>
          <w:szCs w:val="20"/>
          <w:lang w:val="es-ES" w:eastAsia="es-ES"/>
        </w:rPr>
        <w:t>III.</w:t>
      </w:r>
      <w:r w:rsidRPr="00CB1C33">
        <w:rPr>
          <w:rFonts w:ascii="Arial" w:eastAsia="Times New Roman" w:hAnsi="Arial" w:cs="Arial"/>
          <w:b/>
          <w:sz w:val="18"/>
          <w:szCs w:val="20"/>
          <w:lang w:val="es-ES" w:eastAsia="es-ES"/>
        </w:rPr>
        <w:tab/>
      </w:r>
      <w:r w:rsidRPr="00CB1C33">
        <w:rPr>
          <w:rFonts w:ascii="Arial" w:eastAsia="Times New Roman" w:hAnsi="Arial" w:cs="Arial"/>
          <w:sz w:val="18"/>
          <w:szCs w:val="20"/>
          <w:lang w:val="es-ES" w:eastAsia="es-ES"/>
        </w:rPr>
        <w:t>El servidor público que presida el acto deberá recibir las proposiciones para su posterior evaluación, por lo que no podrá desechar ninguna de ellas durante dicho acto.</w:t>
      </w:r>
    </w:p>
    <w:p w:rsidR="00CB1C33" w:rsidRPr="00CB1C33" w:rsidRDefault="00CB1C33" w:rsidP="00CB1C33">
      <w:pPr>
        <w:spacing w:after="50" w:line="240" w:lineRule="auto"/>
        <w:ind w:left="864" w:hanging="576"/>
        <w:jc w:val="both"/>
        <w:rPr>
          <w:rFonts w:ascii="Arial" w:eastAsia="Times New Roman" w:hAnsi="Arial" w:cs="Arial"/>
          <w:sz w:val="18"/>
          <w:szCs w:val="20"/>
          <w:lang w:val="es-ES" w:eastAsia="es-ES"/>
        </w:rPr>
      </w:pPr>
      <w:r w:rsidRPr="00CB1C33">
        <w:rPr>
          <w:rFonts w:ascii="Arial" w:eastAsia="Times New Roman" w:hAnsi="Arial" w:cs="Arial"/>
          <w:sz w:val="18"/>
          <w:szCs w:val="20"/>
          <w:lang w:eastAsia="es-ES"/>
        </w:rPr>
        <w:tab/>
        <w:t>Para efectos de lo dispuesto en el artículo</w:t>
      </w:r>
      <w:r w:rsidRPr="00CB1C33">
        <w:rPr>
          <w:rFonts w:ascii="Arial" w:eastAsia="Times New Roman" w:hAnsi="Arial" w:cs="Arial"/>
          <w:sz w:val="18"/>
          <w:szCs w:val="20"/>
          <w:lang w:val="es-ES" w:eastAsia="es-ES"/>
        </w:rPr>
        <w:t xml:space="preserve"> 51 de la Ley, la recepción se entenderá realizada una vez que ésta se analice durante su evaluación, debiéndose indicar en el fallo si la proposición fue desechada por incumplir la mencionada disposición legal;</w:t>
      </w:r>
    </w:p>
    <w:p w:rsidR="00CB1C33" w:rsidRPr="00CB1C33" w:rsidRDefault="00CB1C33" w:rsidP="00CB1C33">
      <w:pPr>
        <w:spacing w:after="56" w:line="240" w:lineRule="auto"/>
        <w:ind w:left="864" w:hanging="576"/>
        <w:jc w:val="both"/>
        <w:rPr>
          <w:rFonts w:ascii="Arial" w:eastAsia="Times New Roman" w:hAnsi="Arial" w:cs="Arial"/>
          <w:sz w:val="18"/>
          <w:szCs w:val="20"/>
          <w:lang w:val="es-ES" w:eastAsia="es-ES"/>
        </w:rPr>
      </w:pPr>
      <w:r w:rsidRPr="00CB1C33">
        <w:rPr>
          <w:rFonts w:ascii="Arial" w:eastAsia="Times New Roman" w:hAnsi="Arial" w:cs="Arial"/>
          <w:b/>
          <w:sz w:val="18"/>
          <w:szCs w:val="20"/>
          <w:lang w:val="es-ES" w:eastAsia="es-ES"/>
        </w:rPr>
        <w:t>IV.</w:t>
      </w:r>
      <w:r w:rsidRPr="00CB1C33">
        <w:rPr>
          <w:rFonts w:ascii="Arial" w:eastAsia="Times New Roman" w:hAnsi="Arial" w:cs="Arial"/>
          <w:b/>
          <w:sz w:val="18"/>
          <w:szCs w:val="20"/>
          <w:lang w:val="es-ES" w:eastAsia="es-ES"/>
        </w:rPr>
        <w:tab/>
      </w:r>
      <w:r w:rsidRPr="00CB1C33">
        <w:rPr>
          <w:rFonts w:ascii="Arial" w:eastAsia="Times New Roman" w:hAnsi="Arial" w:cs="Arial"/>
          <w:sz w:val="18"/>
          <w:szCs w:val="20"/>
          <w:lang w:val="es-ES" w:eastAsia="es-ES"/>
        </w:rPr>
        <w:t>Una vez recibidas todas las proposiciones, el servidor público que presida el acto dará lectura al importe total de cada proposición. El análisis detallado de las proposiciones se efectuará posteriormente por la convocante, al realizar la evaluación de las mismas;</w:t>
      </w:r>
    </w:p>
    <w:p w:rsidR="00CB1C33" w:rsidRPr="00CB1C33" w:rsidRDefault="00CB1C33" w:rsidP="00CB1C33">
      <w:pPr>
        <w:spacing w:after="56" w:line="240" w:lineRule="auto"/>
        <w:ind w:left="864" w:hanging="576"/>
        <w:jc w:val="both"/>
        <w:rPr>
          <w:rFonts w:ascii="Arial" w:eastAsia="Times New Roman" w:hAnsi="Arial" w:cs="Arial"/>
          <w:sz w:val="18"/>
          <w:szCs w:val="20"/>
          <w:lang w:val="es-ES" w:eastAsia="es-ES"/>
        </w:rPr>
      </w:pPr>
      <w:r w:rsidRPr="00CB1C33">
        <w:rPr>
          <w:rFonts w:ascii="Arial" w:eastAsia="Times New Roman" w:hAnsi="Arial" w:cs="Arial"/>
          <w:b/>
          <w:sz w:val="18"/>
          <w:szCs w:val="20"/>
          <w:lang w:val="es-ES" w:eastAsia="es-ES"/>
        </w:rPr>
        <w:t>V.</w:t>
      </w:r>
      <w:r w:rsidRPr="00CB1C33">
        <w:rPr>
          <w:rFonts w:ascii="Arial" w:eastAsia="Times New Roman" w:hAnsi="Arial" w:cs="Arial"/>
          <w:b/>
          <w:sz w:val="18"/>
          <w:szCs w:val="20"/>
          <w:lang w:val="es-ES" w:eastAsia="es-ES"/>
        </w:rPr>
        <w:tab/>
      </w:r>
      <w:r w:rsidRPr="00CB1C33">
        <w:rPr>
          <w:rFonts w:ascii="Arial" w:eastAsia="Times New Roman" w:hAnsi="Arial" w:cs="Arial"/>
          <w:sz w:val="18"/>
          <w:szCs w:val="20"/>
          <w:lang w:val="es-ES" w:eastAsia="es-ES"/>
        </w:rPr>
        <w:t xml:space="preserve">Aún y cuando existan denuncias o presunción de falsedad en relación con la información presentada por un licitante, su proposición no deberá desecharse. El servidor público que presida el acto, cuando tenga conocimiento del hecho, lo comunicará al órgano interno de control que corresponda, conforme a lo dispuesto por el último párrafo del artículo 78 de la Ley. Si al licitante </w:t>
      </w:r>
      <w:r w:rsidRPr="00CB1C33">
        <w:rPr>
          <w:rFonts w:ascii="Arial" w:eastAsia="Times New Roman" w:hAnsi="Arial" w:cs="Arial"/>
          <w:sz w:val="18"/>
          <w:szCs w:val="20"/>
          <w:lang w:val="es-ES" w:eastAsia="es-ES"/>
        </w:rPr>
        <w:lastRenderedPageBreak/>
        <w:t>de que se trate se le adjudica el contrato correspondiente y de manera previa a la formalización del mismo la autoridad competente determina la falsedad de su información, la convocante deberá abstenerse de suscribir el citado contrato;</w:t>
      </w:r>
    </w:p>
    <w:p w:rsidR="00CB1C33" w:rsidRPr="00CB1C33" w:rsidRDefault="00CB1C33" w:rsidP="00CB1C33">
      <w:pPr>
        <w:spacing w:after="56" w:line="240" w:lineRule="auto"/>
        <w:ind w:left="864" w:hanging="576"/>
        <w:jc w:val="both"/>
        <w:rPr>
          <w:rFonts w:ascii="Arial" w:eastAsia="Times New Roman" w:hAnsi="Arial" w:cs="Arial"/>
          <w:sz w:val="18"/>
          <w:szCs w:val="20"/>
          <w:lang w:val="es-ES" w:eastAsia="es-ES"/>
        </w:rPr>
      </w:pPr>
      <w:r w:rsidRPr="00CB1C33">
        <w:rPr>
          <w:rFonts w:ascii="Arial" w:eastAsia="Times New Roman" w:hAnsi="Arial" w:cs="Arial"/>
          <w:b/>
          <w:sz w:val="18"/>
          <w:szCs w:val="20"/>
          <w:lang w:val="es-ES" w:eastAsia="es-ES"/>
        </w:rPr>
        <w:t>VI.</w:t>
      </w:r>
      <w:r w:rsidRPr="00CB1C33">
        <w:rPr>
          <w:rFonts w:ascii="Arial" w:eastAsia="Times New Roman" w:hAnsi="Arial" w:cs="Arial"/>
          <w:b/>
          <w:sz w:val="18"/>
          <w:szCs w:val="20"/>
          <w:lang w:val="es-ES" w:eastAsia="es-ES"/>
        </w:rPr>
        <w:tab/>
      </w:r>
      <w:r w:rsidRPr="00CB1C33">
        <w:rPr>
          <w:rFonts w:ascii="Arial" w:eastAsia="Times New Roman" w:hAnsi="Arial" w:cs="Arial"/>
          <w:sz w:val="18"/>
          <w:szCs w:val="20"/>
          <w:lang w:val="es-ES" w:eastAsia="es-ES"/>
        </w:rPr>
        <w:t>Con objeto de acreditar su personalidad, los licitantes o sus representantes podrán exhibir un escrito en el que su firmante manifieste, bajo protesta de decir verdad, que cuenta con facultades suficientes para comprometerse por sí o por su representada, mismo que contendrá los datos siguientes:</w:t>
      </w:r>
    </w:p>
    <w:p w:rsidR="00CB1C33" w:rsidRPr="00CB1C33" w:rsidRDefault="00CB1C33" w:rsidP="00CB1C33">
      <w:pPr>
        <w:spacing w:after="56" w:line="240" w:lineRule="auto"/>
        <w:ind w:left="1296" w:hanging="432"/>
        <w:jc w:val="both"/>
        <w:rPr>
          <w:rFonts w:ascii="Arial" w:eastAsia="Times New Roman" w:hAnsi="Arial" w:cs="Arial"/>
          <w:sz w:val="18"/>
          <w:szCs w:val="20"/>
          <w:lang w:val="es-ES" w:eastAsia="es-ES"/>
        </w:rPr>
      </w:pPr>
      <w:r w:rsidRPr="00CB1C33">
        <w:rPr>
          <w:rFonts w:ascii="Arial" w:eastAsia="Times New Roman" w:hAnsi="Arial" w:cs="Arial"/>
          <w:b/>
          <w:sz w:val="18"/>
          <w:szCs w:val="20"/>
          <w:lang w:val="es-ES" w:eastAsia="es-ES"/>
        </w:rPr>
        <w:t>a)</w:t>
      </w:r>
      <w:r w:rsidRPr="00CB1C33">
        <w:rPr>
          <w:rFonts w:ascii="Arial" w:eastAsia="Times New Roman" w:hAnsi="Arial" w:cs="Arial"/>
          <w:sz w:val="18"/>
          <w:szCs w:val="20"/>
          <w:lang w:val="es-ES" w:eastAsia="es-ES"/>
        </w:rPr>
        <w:tab/>
        <w:t>Del licitante: Registro Federal de Contribuyentes; nombre y domicilio, así como, en su caso, los de su apoderado o representante. Tratándose de personas morales, además se señalará la descripción del objeto social de la empresa, identificando los datos de las escrituras públicas y, de haberlas, sus reformas y modificaciones, con las que se acredita la existencia legal de las personas morales, así como el nombre de los socios, y</w:t>
      </w:r>
    </w:p>
    <w:p w:rsidR="00CB1C33" w:rsidRPr="00CB1C33" w:rsidRDefault="00CB1C33" w:rsidP="00CB1C33">
      <w:pPr>
        <w:spacing w:after="56" w:line="240" w:lineRule="auto"/>
        <w:ind w:left="1296" w:hanging="432"/>
        <w:jc w:val="both"/>
        <w:rPr>
          <w:rFonts w:ascii="Arial" w:eastAsia="Times New Roman" w:hAnsi="Arial" w:cs="Arial"/>
          <w:sz w:val="18"/>
          <w:szCs w:val="20"/>
          <w:lang w:val="es-ES" w:eastAsia="es-ES"/>
        </w:rPr>
      </w:pPr>
      <w:r w:rsidRPr="00CB1C33">
        <w:rPr>
          <w:rFonts w:ascii="Arial" w:eastAsia="Times New Roman" w:hAnsi="Arial" w:cs="Arial"/>
          <w:b/>
          <w:sz w:val="18"/>
          <w:szCs w:val="20"/>
          <w:lang w:val="es-ES" w:eastAsia="es-ES"/>
        </w:rPr>
        <w:t>b)</w:t>
      </w:r>
      <w:r w:rsidRPr="00CB1C33">
        <w:rPr>
          <w:rFonts w:ascii="Arial" w:eastAsia="Times New Roman" w:hAnsi="Arial" w:cs="Arial"/>
          <w:sz w:val="18"/>
          <w:szCs w:val="20"/>
          <w:lang w:val="es-ES" w:eastAsia="es-ES"/>
        </w:rPr>
        <w:tab/>
        <w:t>Del representante legal del licitante: datos de las escrituras públicas en las que le fueron otorgadas las facultades de representación y su identificación oficial.</w:t>
      </w:r>
    </w:p>
    <w:p w:rsidR="00CB1C33" w:rsidRPr="00CB1C33" w:rsidRDefault="00CB1C33" w:rsidP="00CB1C33">
      <w:pPr>
        <w:spacing w:after="56" w:line="240" w:lineRule="auto"/>
        <w:ind w:left="864" w:hanging="576"/>
        <w:jc w:val="both"/>
        <w:rPr>
          <w:rFonts w:ascii="Arial" w:eastAsia="Times New Roman" w:hAnsi="Arial" w:cs="Arial"/>
          <w:sz w:val="18"/>
          <w:szCs w:val="20"/>
          <w:lang w:val="es-ES" w:eastAsia="es-ES"/>
        </w:rPr>
      </w:pPr>
      <w:r w:rsidRPr="00CB1C33">
        <w:rPr>
          <w:rFonts w:ascii="Arial" w:eastAsia="Times New Roman" w:hAnsi="Arial" w:cs="Arial"/>
          <w:sz w:val="18"/>
          <w:szCs w:val="20"/>
          <w:lang w:val="es-ES" w:eastAsia="es-ES"/>
        </w:rPr>
        <w:tab/>
        <w:t>En el caso de licitaciones públicas internacionales, el escrito a que se refiere esta fracción deberá incorporar los datos mencionados en los incisos anteriores o los datos equivalentes, considerando las disposiciones aplicables en el país de que se trate. En caso de duda sobre los documentos que deberán requerirse a los licitantes extranjeros para acreditar su personalidad, la convocante solicitará un escrito en el que el licitante manifieste, bajo protesta de decir verdad, que los documentos entregados cumplen con los requisitos necesarios para acreditar la existencia de la persona moral y del tipo o alcances jurídicos de las facultades otorgadas a sus representantes legales;</w:t>
      </w:r>
    </w:p>
    <w:p w:rsidR="00CB1C33" w:rsidRPr="00CB1C33" w:rsidRDefault="00CB1C33" w:rsidP="00CB1C33">
      <w:pPr>
        <w:spacing w:after="56" w:line="240" w:lineRule="auto"/>
        <w:ind w:left="864" w:hanging="576"/>
        <w:jc w:val="both"/>
        <w:rPr>
          <w:rFonts w:ascii="Arial" w:eastAsia="Times New Roman" w:hAnsi="Arial" w:cs="Arial"/>
          <w:sz w:val="18"/>
          <w:szCs w:val="24"/>
          <w:lang w:val="es-ES" w:eastAsia="es-ES"/>
        </w:rPr>
      </w:pPr>
      <w:r w:rsidRPr="00CB1C33">
        <w:rPr>
          <w:rFonts w:ascii="Arial" w:eastAsia="Times New Roman" w:hAnsi="Arial" w:cs="Arial"/>
          <w:b/>
          <w:sz w:val="18"/>
          <w:szCs w:val="24"/>
          <w:lang w:val="es-ES_tradnl" w:eastAsia="es-ES"/>
        </w:rPr>
        <w:t>VII.</w:t>
      </w:r>
      <w:r w:rsidRPr="00CB1C33">
        <w:rPr>
          <w:rFonts w:ascii="Arial" w:eastAsia="Times New Roman" w:hAnsi="Arial" w:cs="Arial"/>
          <w:b/>
          <w:sz w:val="18"/>
          <w:szCs w:val="24"/>
          <w:lang w:val="es-ES_tradnl" w:eastAsia="es-ES"/>
        </w:rPr>
        <w:tab/>
      </w:r>
      <w:r w:rsidRPr="00CB1C33">
        <w:rPr>
          <w:rFonts w:ascii="Arial" w:eastAsia="Times New Roman" w:hAnsi="Arial" w:cs="Arial"/>
          <w:sz w:val="18"/>
          <w:szCs w:val="24"/>
          <w:lang w:val="es-ES_tradnl" w:eastAsia="es-ES"/>
        </w:rPr>
        <w:t>S</w:t>
      </w:r>
      <w:r w:rsidRPr="00CB1C33">
        <w:rPr>
          <w:rFonts w:ascii="Arial" w:eastAsia="Times New Roman" w:hAnsi="Arial" w:cs="Arial"/>
          <w:sz w:val="18"/>
          <w:szCs w:val="24"/>
          <w:lang w:val="es-ES" w:eastAsia="es-ES"/>
        </w:rPr>
        <w:t>e indicará que previo a la firma del contrato, el licitante ganador deberá presentar original o copia certificada para su cotejo de los documentos con los que se acredite su existencia legal y las facultades de su representante para suscribir el contrato correspondiente. En el caso de contratistas extranjeros, la información requerida en esta fracción deberá contar con la legalización o apostillado correspondiente de la autoridad competente en el país de que se trate, misma que tendrá que presentarse redactada en español, o acompañada de la traducción correspondiente.</w:t>
      </w:r>
    </w:p>
    <w:p w:rsidR="00CB1C33" w:rsidRPr="00CB1C33" w:rsidRDefault="00CB1C33" w:rsidP="00CB1C33">
      <w:pPr>
        <w:spacing w:after="56" w:line="240" w:lineRule="auto"/>
        <w:ind w:left="864" w:hanging="576"/>
        <w:jc w:val="both"/>
        <w:rPr>
          <w:rFonts w:ascii="Arial" w:eastAsia="Times New Roman" w:hAnsi="Arial" w:cs="Arial"/>
          <w:sz w:val="18"/>
          <w:szCs w:val="24"/>
          <w:lang w:val="es-ES" w:eastAsia="es-ES"/>
        </w:rPr>
      </w:pPr>
      <w:r w:rsidRPr="00CB1C33">
        <w:rPr>
          <w:rFonts w:ascii="Arial" w:eastAsia="Times New Roman" w:hAnsi="Arial" w:cs="Arial"/>
          <w:sz w:val="18"/>
          <w:szCs w:val="24"/>
          <w:lang w:val="es-ES" w:eastAsia="es-ES"/>
        </w:rPr>
        <w:tab/>
        <w:t>En el caso de que el licitante se encuentre inscrito en el registro único de contratistas no será necesario presentar la información a que se refiere esta fracción, bastando únicamente exhibir la constancia o citar el número de su inscripción y manifestar bajo protesta de decir verdad que en el citado registro la información se encuentra completa y actualizada;</w:t>
      </w:r>
    </w:p>
    <w:p w:rsidR="00CB1C33" w:rsidRPr="00CB1C33" w:rsidRDefault="00CB1C33" w:rsidP="00CB1C33">
      <w:pPr>
        <w:spacing w:after="55" w:line="240" w:lineRule="auto"/>
        <w:ind w:left="864" w:hanging="576"/>
        <w:jc w:val="both"/>
        <w:rPr>
          <w:rFonts w:ascii="Arial" w:eastAsia="Times New Roman" w:hAnsi="Arial" w:cs="Arial"/>
          <w:sz w:val="18"/>
          <w:szCs w:val="20"/>
          <w:lang w:val="es-ES" w:eastAsia="es-ES"/>
        </w:rPr>
      </w:pPr>
      <w:r w:rsidRPr="00CB1C33">
        <w:rPr>
          <w:rFonts w:ascii="Arial" w:eastAsia="Times New Roman" w:hAnsi="Arial" w:cs="Arial"/>
          <w:b/>
          <w:sz w:val="18"/>
          <w:szCs w:val="20"/>
          <w:lang w:val="es-ES" w:eastAsia="es-ES"/>
        </w:rPr>
        <w:t>VIII.</w:t>
      </w:r>
      <w:r w:rsidRPr="00CB1C33">
        <w:rPr>
          <w:rFonts w:ascii="Arial" w:eastAsia="Times New Roman" w:hAnsi="Arial" w:cs="Arial"/>
          <w:b/>
          <w:sz w:val="18"/>
          <w:szCs w:val="20"/>
          <w:lang w:val="es-ES" w:eastAsia="es-ES"/>
        </w:rPr>
        <w:tab/>
      </w:r>
      <w:r w:rsidRPr="00CB1C33">
        <w:rPr>
          <w:rFonts w:ascii="Arial" w:eastAsia="Times New Roman" w:hAnsi="Arial" w:cs="Arial"/>
          <w:sz w:val="18"/>
          <w:szCs w:val="20"/>
          <w:lang w:val="es-ES" w:eastAsia="es-ES"/>
        </w:rPr>
        <w:t xml:space="preserve">No será motivo de </w:t>
      </w:r>
      <w:proofErr w:type="spellStart"/>
      <w:r w:rsidRPr="00CB1C33">
        <w:rPr>
          <w:rFonts w:ascii="Arial" w:eastAsia="Times New Roman" w:hAnsi="Arial" w:cs="Arial"/>
          <w:sz w:val="18"/>
          <w:szCs w:val="20"/>
          <w:lang w:val="es-ES" w:eastAsia="es-ES"/>
        </w:rPr>
        <w:t>desechamiento</w:t>
      </w:r>
      <w:proofErr w:type="spellEnd"/>
      <w:r w:rsidRPr="00CB1C33">
        <w:rPr>
          <w:rFonts w:ascii="Arial" w:eastAsia="Times New Roman" w:hAnsi="Arial" w:cs="Arial"/>
          <w:sz w:val="18"/>
          <w:szCs w:val="20"/>
          <w:lang w:val="es-ES" w:eastAsia="es-ES"/>
        </w:rPr>
        <w:t xml:space="preserve"> la falta de identificación o de acreditación de la representación de la persona que únicamente entregue la proposición, pero ésta sólo podrá participar durante el desarrollo del acto con el carácter de observador;</w:t>
      </w:r>
    </w:p>
    <w:p w:rsidR="00CB1C33" w:rsidRPr="00CB1C33" w:rsidRDefault="00CB1C33" w:rsidP="00CB1C33">
      <w:pPr>
        <w:spacing w:after="55" w:line="240" w:lineRule="auto"/>
        <w:ind w:left="864" w:hanging="576"/>
        <w:jc w:val="both"/>
        <w:rPr>
          <w:rFonts w:ascii="Arial" w:eastAsia="Times New Roman" w:hAnsi="Arial" w:cs="Arial"/>
          <w:sz w:val="18"/>
          <w:szCs w:val="20"/>
          <w:lang w:val="es-ES" w:eastAsia="es-ES"/>
        </w:rPr>
      </w:pPr>
      <w:r w:rsidRPr="00CB1C33">
        <w:rPr>
          <w:rFonts w:ascii="Arial" w:eastAsia="Times New Roman" w:hAnsi="Arial" w:cs="Arial"/>
          <w:b/>
          <w:sz w:val="18"/>
          <w:szCs w:val="20"/>
          <w:lang w:val="es-ES" w:eastAsia="es-ES"/>
        </w:rPr>
        <w:t>IX.</w:t>
      </w:r>
      <w:r w:rsidRPr="00CB1C33">
        <w:rPr>
          <w:rFonts w:ascii="Arial" w:eastAsia="Times New Roman" w:hAnsi="Arial" w:cs="Arial"/>
          <w:b/>
          <w:sz w:val="18"/>
          <w:szCs w:val="20"/>
          <w:lang w:val="es-ES" w:eastAsia="es-ES"/>
        </w:rPr>
        <w:tab/>
      </w:r>
      <w:r w:rsidRPr="00CB1C33">
        <w:rPr>
          <w:rFonts w:ascii="Arial" w:eastAsia="Times New Roman" w:hAnsi="Arial" w:cs="Arial"/>
          <w:sz w:val="18"/>
          <w:szCs w:val="20"/>
          <w:lang w:val="es-ES" w:eastAsia="es-ES"/>
        </w:rPr>
        <w:t>Se requerirá a los licitantes que entreguen junto con el Sobre cerrado los escritos siguientes:</w:t>
      </w:r>
    </w:p>
    <w:p w:rsidR="00CB1C33" w:rsidRPr="00CB1C33" w:rsidRDefault="00CB1C33" w:rsidP="00CB1C33">
      <w:pPr>
        <w:spacing w:after="55" w:line="240" w:lineRule="auto"/>
        <w:ind w:left="1296" w:hanging="432"/>
        <w:jc w:val="both"/>
        <w:rPr>
          <w:rFonts w:ascii="Arial" w:eastAsia="Times New Roman" w:hAnsi="Arial" w:cs="Arial"/>
          <w:sz w:val="18"/>
          <w:szCs w:val="20"/>
          <w:lang w:val="es-ES" w:eastAsia="es-ES"/>
        </w:rPr>
      </w:pPr>
      <w:r w:rsidRPr="00CB1C33">
        <w:rPr>
          <w:rFonts w:ascii="Arial" w:eastAsia="Times New Roman" w:hAnsi="Arial" w:cs="Arial"/>
          <w:b/>
          <w:sz w:val="18"/>
          <w:szCs w:val="20"/>
          <w:lang w:val="es-ES" w:eastAsia="es-ES"/>
        </w:rPr>
        <w:t>a)</w:t>
      </w:r>
      <w:r w:rsidRPr="00CB1C33">
        <w:rPr>
          <w:rFonts w:ascii="Arial" w:eastAsia="Times New Roman" w:hAnsi="Arial" w:cs="Arial"/>
          <w:b/>
          <w:sz w:val="18"/>
          <w:szCs w:val="20"/>
          <w:lang w:val="es-ES" w:eastAsia="es-ES"/>
        </w:rPr>
        <w:tab/>
      </w:r>
      <w:r w:rsidRPr="00CB1C33">
        <w:rPr>
          <w:rFonts w:ascii="Arial" w:eastAsia="Times New Roman" w:hAnsi="Arial" w:cs="Arial"/>
          <w:sz w:val="18"/>
          <w:szCs w:val="20"/>
          <w:lang w:val="es-ES" w:eastAsia="es-ES"/>
        </w:rPr>
        <w:t>La declaración bajo protesta de decir verdad de no encontrarse en alguno de los supuestos establecidos por los artículos 51 y 78 de la Ley;</w:t>
      </w:r>
    </w:p>
    <w:p w:rsidR="00CB1C33" w:rsidRPr="00CB1C33" w:rsidRDefault="00CB1C33" w:rsidP="00CB1C33">
      <w:pPr>
        <w:spacing w:after="55" w:line="240" w:lineRule="auto"/>
        <w:ind w:left="1296" w:hanging="432"/>
        <w:jc w:val="both"/>
        <w:rPr>
          <w:rFonts w:ascii="Arial" w:eastAsia="Times New Roman" w:hAnsi="Arial" w:cs="Arial"/>
          <w:sz w:val="18"/>
          <w:szCs w:val="20"/>
          <w:lang w:val="es-ES" w:eastAsia="es-ES"/>
        </w:rPr>
      </w:pPr>
      <w:r w:rsidRPr="00CB1C33">
        <w:rPr>
          <w:rFonts w:ascii="Arial" w:eastAsia="Times New Roman" w:hAnsi="Arial" w:cs="Arial"/>
          <w:b/>
          <w:sz w:val="18"/>
          <w:szCs w:val="20"/>
          <w:lang w:val="es-ES" w:eastAsia="es-ES"/>
        </w:rPr>
        <w:t>b)</w:t>
      </w:r>
      <w:r w:rsidRPr="00CB1C33">
        <w:rPr>
          <w:rFonts w:ascii="Arial" w:eastAsia="Times New Roman" w:hAnsi="Arial" w:cs="Arial"/>
          <w:b/>
          <w:sz w:val="18"/>
          <w:szCs w:val="20"/>
          <w:lang w:val="es-ES" w:eastAsia="es-ES"/>
        </w:rPr>
        <w:tab/>
      </w:r>
      <w:r w:rsidRPr="00CB1C33">
        <w:rPr>
          <w:rFonts w:ascii="Arial" w:eastAsia="Times New Roman" w:hAnsi="Arial" w:cs="Arial"/>
          <w:sz w:val="18"/>
          <w:szCs w:val="20"/>
          <w:lang w:val="es-ES" w:eastAsia="es-ES"/>
        </w:rPr>
        <w:t>En su caso, el que contenga la manifestación a que se refiere la fracción XV del artículo 31 de la Ley;</w:t>
      </w:r>
    </w:p>
    <w:p w:rsidR="00CB1C33" w:rsidRPr="00CB1C33" w:rsidRDefault="00CB1C33" w:rsidP="00CB1C33">
      <w:pPr>
        <w:spacing w:after="55" w:line="240" w:lineRule="auto"/>
        <w:ind w:left="1296" w:hanging="432"/>
        <w:jc w:val="both"/>
        <w:rPr>
          <w:rFonts w:ascii="Arial" w:eastAsia="Times New Roman" w:hAnsi="Arial" w:cs="Arial"/>
          <w:sz w:val="18"/>
          <w:szCs w:val="20"/>
          <w:lang w:val="es-ES" w:eastAsia="es-ES"/>
        </w:rPr>
      </w:pPr>
      <w:r w:rsidRPr="00CB1C33">
        <w:rPr>
          <w:rFonts w:ascii="Arial" w:eastAsia="Times New Roman" w:hAnsi="Arial" w:cs="Arial"/>
          <w:b/>
          <w:sz w:val="18"/>
          <w:szCs w:val="20"/>
          <w:lang w:val="es-ES" w:eastAsia="es-ES"/>
        </w:rPr>
        <w:t>c)</w:t>
      </w:r>
      <w:r w:rsidRPr="00CB1C33">
        <w:rPr>
          <w:rFonts w:ascii="Arial" w:eastAsia="Times New Roman" w:hAnsi="Arial" w:cs="Arial"/>
          <w:b/>
          <w:sz w:val="18"/>
          <w:szCs w:val="20"/>
          <w:lang w:val="es-ES" w:eastAsia="es-ES"/>
        </w:rPr>
        <w:tab/>
      </w:r>
      <w:r w:rsidRPr="00CB1C33">
        <w:rPr>
          <w:rFonts w:ascii="Arial" w:eastAsia="Times New Roman" w:hAnsi="Arial" w:cs="Arial"/>
          <w:sz w:val="18"/>
          <w:szCs w:val="20"/>
          <w:lang w:val="es-ES" w:eastAsia="es-ES"/>
        </w:rPr>
        <w:t>La declaración de integridad, a que hace referencia la fracción XXXI del artículo 31 de la Ley;</w:t>
      </w:r>
    </w:p>
    <w:p w:rsidR="00CB1C33" w:rsidRPr="00CB1C33" w:rsidRDefault="00CB1C33" w:rsidP="00CB1C33">
      <w:pPr>
        <w:spacing w:after="55" w:line="240" w:lineRule="auto"/>
        <w:ind w:left="1296" w:hanging="432"/>
        <w:jc w:val="both"/>
        <w:rPr>
          <w:rFonts w:ascii="Arial" w:eastAsia="Times New Roman" w:hAnsi="Arial" w:cs="Arial"/>
          <w:sz w:val="18"/>
          <w:szCs w:val="20"/>
          <w:lang w:eastAsia="es-ES"/>
        </w:rPr>
      </w:pPr>
      <w:r w:rsidRPr="00CB1C33">
        <w:rPr>
          <w:rFonts w:ascii="Arial" w:eastAsia="Times New Roman" w:hAnsi="Arial" w:cs="Arial"/>
          <w:b/>
          <w:sz w:val="18"/>
          <w:szCs w:val="20"/>
          <w:lang w:val="es-ES" w:eastAsia="es-ES"/>
        </w:rPr>
        <w:t>d)</w:t>
      </w:r>
      <w:r w:rsidRPr="00CB1C33">
        <w:rPr>
          <w:rFonts w:ascii="Arial" w:eastAsia="Times New Roman" w:hAnsi="Arial" w:cs="Arial"/>
          <w:b/>
          <w:sz w:val="18"/>
          <w:szCs w:val="20"/>
          <w:lang w:val="es-ES" w:eastAsia="es-ES"/>
        </w:rPr>
        <w:tab/>
      </w:r>
      <w:r w:rsidRPr="00CB1C33">
        <w:rPr>
          <w:rFonts w:ascii="Arial" w:eastAsia="Times New Roman" w:hAnsi="Arial" w:cs="Arial"/>
          <w:sz w:val="18"/>
          <w:szCs w:val="20"/>
          <w:lang w:val="es-ES" w:eastAsia="es-ES"/>
        </w:rPr>
        <w:t>En las licitaciones públicas de carácter nacional, el que contenga la manifestación prevista en el primer párrafo del artículo 36 de este Reglamento</w:t>
      </w:r>
      <w:r w:rsidRPr="00CB1C33">
        <w:rPr>
          <w:rFonts w:ascii="Arial" w:eastAsia="Times New Roman" w:hAnsi="Arial" w:cs="Arial"/>
          <w:sz w:val="18"/>
          <w:szCs w:val="20"/>
          <w:lang w:eastAsia="es-ES"/>
        </w:rPr>
        <w:t>;</w:t>
      </w:r>
    </w:p>
    <w:p w:rsidR="00CB1C33" w:rsidRPr="00CB1C33" w:rsidRDefault="00CB1C33" w:rsidP="00CB1C33">
      <w:pPr>
        <w:spacing w:after="55" w:line="240" w:lineRule="auto"/>
        <w:ind w:left="1296" w:hanging="432"/>
        <w:jc w:val="both"/>
        <w:rPr>
          <w:rFonts w:ascii="Arial" w:eastAsia="Times New Roman" w:hAnsi="Arial" w:cs="Arial"/>
          <w:sz w:val="18"/>
          <w:szCs w:val="20"/>
          <w:lang w:val="es-ES" w:eastAsia="es-ES"/>
        </w:rPr>
      </w:pPr>
      <w:r w:rsidRPr="00CB1C33">
        <w:rPr>
          <w:rFonts w:ascii="Arial" w:eastAsia="Times New Roman" w:hAnsi="Arial" w:cs="Arial"/>
          <w:b/>
          <w:sz w:val="18"/>
          <w:szCs w:val="20"/>
          <w:lang w:val="es-ES" w:eastAsia="es-ES"/>
        </w:rPr>
        <w:t>e)</w:t>
      </w:r>
      <w:r w:rsidRPr="00CB1C33">
        <w:rPr>
          <w:rFonts w:ascii="Arial" w:eastAsia="Times New Roman" w:hAnsi="Arial" w:cs="Arial"/>
          <w:b/>
          <w:sz w:val="18"/>
          <w:szCs w:val="20"/>
          <w:lang w:val="es-ES" w:eastAsia="es-ES"/>
        </w:rPr>
        <w:tab/>
      </w:r>
      <w:r w:rsidRPr="00CB1C33">
        <w:rPr>
          <w:rFonts w:ascii="Arial" w:eastAsia="Times New Roman" w:hAnsi="Arial" w:cs="Arial"/>
          <w:sz w:val="18"/>
          <w:szCs w:val="20"/>
          <w:lang w:val="es-ES" w:eastAsia="es-ES"/>
        </w:rPr>
        <w:t>En su caso, las manifestaciones escritas a que se refieren las fracciones I, V y VIII del artículo 44 de este Reglamento, y</w:t>
      </w:r>
    </w:p>
    <w:p w:rsidR="00CB1C33" w:rsidRPr="00CB1C33" w:rsidRDefault="00CB1C33" w:rsidP="00CB1C33">
      <w:pPr>
        <w:spacing w:after="55" w:line="240" w:lineRule="auto"/>
        <w:ind w:left="1296" w:hanging="432"/>
        <w:jc w:val="both"/>
        <w:rPr>
          <w:rFonts w:ascii="Arial" w:eastAsia="Times New Roman" w:hAnsi="Arial" w:cs="Arial"/>
          <w:sz w:val="18"/>
          <w:szCs w:val="20"/>
          <w:lang w:val="es-ES" w:eastAsia="es-ES"/>
        </w:rPr>
      </w:pPr>
      <w:r w:rsidRPr="00CB1C33">
        <w:rPr>
          <w:rFonts w:ascii="Arial" w:eastAsia="Times New Roman" w:hAnsi="Arial" w:cs="Arial"/>
          <w:b/>
          <w:sz w:val="18"/>
          <w:szCs w:val="20"/>
          <w:lang w:val="es-ES" w:eastAsia="es-ES"/>
        </w:rPr>
        <w:t>f)</w:t>
      </w:r>
      <w:r w:rsidRPr="00CB1C33">
        <w:rPr>
          <w:rFonts w:ascii="Arial" w:eastAsia="Times New Roman" w:hAnsi="Arial" w:cs="Arial"/>
          <w:b/>
          <w:sz w:val="18"/>
          <w:szCs w:val="20"/>
          <w:lang w:val="es-ES" w:eastAsia="es-ES"/>
        </w:rPr>
        <w:tab/>
      </w:r>
      <w:r w:rsidRPr="00CB1C33">
        <w:rPr>
          <w:rFonts w:ascii="Arial" w:eastAsia="Times New Roman" w:hAnsi="Arial" w:cs="Arial"/>
          <w:sz w:val="18"/>
          <w:szCs w:val="20"/>
          <w:lang w:val="es-ES" w:eastAsia="es-ES"/>
        </w:rPr>
        <w:t>En su caso, el documento expedido por autoridad competente o el escrito a que se refiere el segundo párrafo del artículo 12 de este Reglamento.</w:t>
      </w:r>
    </w:p>
    <w:p w:rsidR="00CB1C33" w:rsidRPr="00CB1C33" w:rsidRDefault="00CB1C33" w:rsidP="00CB1C33">
      <w:pPr>
        <w:spacing w:after="55" w:line="240" w:lineRule="auto"/>
        <w:ind w:left="864" w:hanging="576"/>
        <w:jc w:val="both"/>
        <w:rPr>
          <w:rFonts w:ascii="Arial" w:eastAsia="Times New Roman" w:hAnsi="Arial" w:cs="Arial"/>
          <w:sz w:val="18"/>
          <w:szCs w:val="20"/>
          <w:lang w:val="es-ES" w:eastAsia="es-ES"/>
        </w:rPr>
      </w:pPr>
      <w:r w:rsidRPr="00CB1C33">
        <w:rPr>
          <w:rFonts w:ascii="Arial" w:eastAsia="Times New Roman" w:hAnsi="Arial" w:cs="Arial"/>
          <w:sz w:val="18"/>
          <w:szCs w:val="20"/>
          <w:lang w:val="es-ES" w:eastAsia="es-ES"/>
        </w:rPr>
        <w:tab/>
        <w:t>Los licitantes que decidan agruparse para presentar una proposición conjunta, deberán presentar en forma individual los escritos señalados en esta fracción, y</w:t>
      </w:r>
    </w:p>
    <w:p w:rsidR="00CB1C33" w:rsidRPr="00CB1C33" w:rsidRDefault="00CB1C33" w:rsidP="00CB1C33">
      <w:pPr>
        <w:spacing w:after="55" w:line="240" w:lineRule="auto"/>
        <w:ind w:left="864" w:hanging="576"/>
        <w:jc w:val="both"/>
        <w:rPr>
          <w:rFonts w:ascii="Arial" w:eastAsia="Times New Roman" w:hAnsi="Arial" w:cs="Arial"/>
          <w:sz w:val="18"/>
          <w:szCs w:val="20"/>
          <w:lang w:val="es-ES" w:eastAsia="es-ES"/>
        </w:rPr>
      </w:pPr>
      <w:r w:rsidRPr="00CB1C33">
        <w:rPr>
          <w:rFonts w:ascii="Arial" w:eastAsia="Times New Roman" w:hAnsi="Arial" w:cs="Arial"/>
          <w:b/>
          <w:sz w:val="18"/>
          <w:szCs w:val="20"/>
          <w:lang w:val="es-ES" w:eastAsia="es-ES"/>
        </w:rPr>
        <w:t>X.</w:t>
      </w:r>
      <w:r w:rsidRPr="00CB1C33">
        <w:rPr>
          <w:rFonts w:ascii="Arial" w:eastAsia="Times New Roman" w:hAnsi="Arial" w:cs="Arial"/>
          <w:b/>
          <w:sz w:val="18"/>
          <w:szCs w:val="20"/>
          <w:lang w:val="es-ES" w:eastAsia="es-ES"/>
        </w:rPr>
        <w:tab/>
      </w:r>
      <w:r w:rsidRPr="00CB1C33">
        <w:rPr>
          <w:rFonts w:ascii="Arial" w:eastAsia="Times New Roman" w:hAnsi="Arial" w:cs="Arial"/>
          <w:sz w:val="18"/>
          <w:szCs w:val="20"/>
          <w:lang w:val="es-ES" w:eastAsia="es-ES"/>
        </w:rPr>
        <w:t>Los licitantes entregarán junto con el Sobre cerrado, copia simple por ambos lados de su identificación oficial vigente con fotografía, tratándose de personas físicas y, en el caso de personas morales, de la persona que firme la proposición. Asimismo, para efectos del segundo párrafo del artículo 38 de la Ley, deberán entregar el aviso de alta a que se refiere dicho párrafo.</w:t>
      </w:r>
    </w:p>
    <w:p w:rsidR="00CB1C33" w:rsidRPr="00CB1C33" w:rsidRDefault="00CB1C33" w:rsidP="00CB1C33">
      <w:pPr>
        <w:spacing w:after="50" w:line="195" w:lineRule="exact"/>
        <w:ind w:firstLine="288"/>
        <w:jc w:val="both"/>
        <w:rPr>
          <w:rFonts w:ascii="Arial" w:eastAsia="Times New Roman" w:hAnsi="Arial" w:cs="Arial"/>
          <w:sz w:val="18"/>
          <w:szCs w:val="20"/>
          <w:lang w:val="es-ES" w:eastAsia="es-ES"/>
        </w:rPr>
      </w:pPr>
      <w:r w:rsidRPr="00CB1C33">
        <w:rPr>
          <w:rFonts w:ascii="Arial" w:eastAsia="Times New Roman" w:hAnsi="Arial" w:cs="Arial"/>
          <w:sz w:val="18"/>
          <w:szCs w:val="20"/>
          <w:lang w:val="es-ES" w:eastAsia="es-ES"/>
        </w:rPr>
        <w:t xml:space="preserve">En el acto de presentación y apertura de proposiciones, la convocante podrá anticipar o diferir la fecha del fallo dentro de los plazos establecidos en la fracción III del artículo 37 de la Ley, lo cual quedará asentado en el acta correspondiente a este acto. También podrá hacerlo durante la evaluación de las proposiciones o de ser necesario, en cualquier otro momento, dentro de los plazos indicados, notificando a los licitantes la nueva fecha a través de </w:t>
      </w:r>
      <w:proofErr w:type="spellStart"/>
      <w:r w:rsidRPr="00CB1C33">
        <w:rPr>
          <w:rFonts w:ascii="Arial" w:eastAsia="Times New Roman" w:hAnsi="Arial" w:cs="Arial"/>
          <w:sz w:val="18"/>
          <w:szCs w:val="20"/>
          <w:lang w:val="es-ES" w:eastAsia="es-ES"/>
        </w:rPr>
        <w:t>CompraNet</w:t>
      </w:r>
      <w:proofErr w:type="spellEnd"/>
      <w:r w:rsidRPr="00CB1C33">
        <w:rPr>
          <w:rFonts w:ascii="Arial" w:eastAsia="Times New Roman" w:hAnsi="Arial" w:cs="Arial"/>
          <w:sz w:val="18"/>
          <w:szCs w:val="20"/>
          <w:lang w:val="es-ES" w:eastAsia="es-ES"/>
        </w:rPr>
        <w:t>.</w:t>
      </w:r>
    </w:p>
    <w:p w:rsidR="00CB1C33" w:rsidRPr="00CB1C33" w:rsidRDefault="00CB1C33" w:rsidP="00CB1C33">
      <w:pPr>
        <w:spacing w:after="50" w:line="195" w:lineRule="exact"/>
        <w:ind w:firstLine="288"/>
        <w:jc w:val="both"/>
        <w:rPr>
          <w:rFonts w:ascii="Arial" w:eastAsia="Times New Roman" w:hAnsi="Arial" w:cs="Arial"/>
          <w:sz w:val="18"/>
          <w:szCs w:val="20"/>
          <w:lang w:val="es-ES" w:eastAsia="es-ES"/>
        </w:rPr>
      </w:pPr>
      <w:r w:rsidRPr="00CB1C33">
        <w:rPr>
          <w:rFonts w:ascii="Arial" w:eastAsia="Times New Roman" w:hAnsi="Arial" w:cs="Arial"/>
          <w:sz w:val="18"/>
          <w:szCs w:val="20"/>
          <w:lang w:val="es-ES" w:eastAsia="es-ES"/>
        </w:rPr>
        <w:lastRenderedPageBreak/>
        <w:t>Cuando los licitantes omitan presentar en el acto de presentación y apertura de proposiciones documentos que no afecten su solvencia técnica o económica, o bien, documentos requeridos por la convocante, distintos a los escritos señalados en la fracción VIII del artículo 34 de este Reglamento, ésta solicitará a dichos licitantes que proporcionen la documentación en el plazo que la misma determine.</w:t>
      </w:r>
    </w:p>
    <w:p w:rsidR="00CB1C33" w:rsidRPr="00CB1C33" w:rsidRDefault="00CB1C33" w:rsidP="00CB1C33">
      <w:pPr>
        <w:spacing w:after="50" w:line="195" w:lineRule="exact"/>
        <w:ind w:firstLine="288"/>
        <w:jc w:val="both"/>
        <w:rPr>
          <w:rFonts w:ascii="Arial" w:eastAsia="Times New Roman" w:hAnsi="Arial" w:cs="Arial"/>
          <w:sz w:val="18"/>
          <w:szCs w:val="20"/>
          <w:lang w:val="es-ES" w:eastAsia="es-ES"/>
        </w:rPr>
      </w:pPr>
      <w:r w:rsidRPr="00CB1C33">
        <w:rPr>
          <w:rFonts w:ascii="Arial" w:eastAsia="Times New Roman" w:hAnsi="Arial" w:cs="Arial"/>
          <w:b/>
          <w:sz w:val="18"/>
          <w:szCs w:val="20"/>
          <w:lang w:val="es-ES" w:eastAsia="es-ES"/>
        </w:rPr>
        <w:t>Artículo 62.-</w:t>
      </w:r>
      <w:r w:rsidRPr="00CB1C33">
        <w:rPr>
          <w:rFonts w:ascii="Arial" w:eastAsia="Times New Roman" w:hAnsi="Arial" w:cs="Arial"/>
          <w:sz w:val="18"/>
          <w:szCs w:val="20"/>
          <w:lang w:val="es-ES" w:eastAsia="es-ES"/>
        </w:rPr>
        <w:t xml:space="preserve"> Al concluir el acto de presentación y apertura de proposiciones se levantará un acta en la que se hará constar como mínimo lo siguiente:</w:t>
      </w:r>
    </w:p>
    <w:p w:rsidR="00CB1C33" w:rsidRPr="00CB1C33" w:rsidRDefault="00CB1C33" w:rsidP="00CB1C33">
      <w:pPr>
        <w:spacing w:after="50" w:line="195" w:lineRule="exact"/>
        <w:ind w:left="864" w:hanging="576"/>
        <w:jc w:val="both"/>
        <w:rPr>
          <w:rFonts w:ascii="Arial" w:eastAsia="Times New Roman" w:hAnsi="Arial" w:cs="Arial"/>
          <w:sz w:val="18"/>
          <w:szCs w:val="20"/>
          <w:lang w:val="es-ES_tradnl" w:eastAsia="es-ES"/>
        </w:rPr>
      </w:pPr>
      <w:r w:rsidRPr="00CB1C33">
        <w:rPr>
          <w:rFonts w:ascii="Arial" w:eastAsia="Times New Roman" w:hAnsi="Arial" w:cs="Arial"/>
          <w:b/>
          <w:sz w:val="18"/>
          <w:szCs w:val="20"/>
          <w:lang w:val="es-ES_tradnl" w:eastAsia="es-ES"/>
        </w:rPr>
        <w:t>I.</w:t>
      </w:r>
      <w:r w:rsidRPr="00CB1C33">
        <w:rPr>
          <w:rFonts w:ascii="Arial" w:eastAsia="Times New Roman" w:hAnsi="Arial" w:cs="Arial"/>
          <w:b/>
          <w:sz w:val="18"/>
          <w:szCs w:val="20"/>
          <w:lang w:val="es-ES_tradnl" w:eastAsia="es-ES"/>
        </w:rPr>
        <w:tab/>
      </w:r>
      <w:r w:rsidRPr="00CB1C33">
        <w:rPr>
          <w:rFonts w:ascii="Arial" w:eastAsia="Times New Roman" w:hAnsi="Arial" w:cs="Arial"/>
          <w:sz w:val="18"/>
          <w:szCs w:val="20"/>
          <w:lang w:val="es-ES_tradnl" w:eastAsia="es-ES"/>
        </w:rPr>
        <w:t>Fecha, lugar y hora en que se llevó a cabo el acto;</w:t>
      </w:r>
    </w:p>
    <w:p w:rsidR="00CB1C33" w:rsidRPr="00CB1C33" w:rsidRDefault="00CB1C33" w:rsidP="00CB1C33">
      <w:pPr>
        <w:spacing w:after="50" w:line="195" w:lineRule="exact"/>
        <w:ind w:left="864" w:hanging="576"/>
        <w:jc w:val="both"/>
        <w:rPr>
          <w:rFonts w:ascii="Arial" w:eastAsia="Times New Roman" w:hAnsi="Arial" w:cs="Arial"/>
          <w:sz w:val="18"/>
          <w:szCs w:val="20"/>
          <w:lang w:val="es-ES_tradnl" w:eastAsia="es-ES"/>
        </w:rPr>
      </w:pPr>
      <w:r w:rsidRPr="00CB1C33">
        <w:rPr>
          <w:rFonts w:ascii="Arial" w:eastAsia="Times New Roman" w:hAnsi="Arial" w:cs="Arial"/>
          <w:b/>
          <w:sz w:val="18"/>
          <w:szCs w:val="20"/>
          <w:lang w:val="es-ES_tradnl" w:eastAsia="es-ES"/>
        </w:rPr>
        <w:t>II.</w:t>
      </w:r>
      <w:r w:rsidRPr="00CB1C33">
        <w:rPr>
          <w:rFonts w:ascii="Arial" w:eastAsia="Times New Roman" w:hAnsi="Arial" w:cs="Arial"/>
          <w:b/>
          <w:sz w:val="18"/>
          <w:szCs w:val="20"/>
          <w:lang w:val="es-ES_tradnl" w:eastAsia="es-ES"/>
        </w:rPr>
        <w:tab/>
      </w:r>
      <w:r w:rsidRPr="00CB1C33">
        <w:rPr>
          <w:rFonts w:ascii="Arial" w:eastAsia="Times New Roman" w:hAnsi="Arial" w:cs="Arial"/>
          <w:sz w:val="18"/>
          <w:szCs w:val="20"/>
          <w:lang w:val="es-ES_tradnl" w:eastAsia="es-ES"/>
        </w:rPr>
        <w:t>Nombre del servidor público encargado de presidir el acto;</w:t>
      </w:r>
    </w:p>
    <w:p w:rsidR="00CB1C33" w:rsidRPr="00CB1C33" w:rsidRDefault="00CB1C33" w:rsidP="00CB1C33">
      <w:pPr>
        <w:spacing w:after="50" w:line="195" w:lineRule="exact"/>
        <w:ind w:left="864" w:hanging="576"/>
        <w:jc w:val="both"/>
        <w:rPr>
          <w:rFonts w:ascii="Arial" w:eastAsia="Times New Roman" w:hAnsi="Arial" w:cs="Arial"/>
          <w:sz w:val="18"/>
          <w:szCs w:val="20"/>
          <w:lang w:val="es-ES" w:eastAsia="es-ES"/>
        </w:rPr>
      </w:pPr>
      <w:r w:rsidRPr="00CB1C33">
        <w:rPr>
          <w:rFonts w:ascii="Arial" w:eastAsia="Times New Roman" w:hAnsi="Arial" w:cs="Arial"/>
          <w:b/>
          <w:sz w:val="18"/>
          <w:szCs w:val="20"/>
          <w:lang w:val="es-ES" w:eastAsia="es-ES"/>
        </w:rPr>
        <w:t>III.</w:t>
      </w:r>
      <w:r w:rsidRPr="00CB1C33">
        <w:rPr>
          <w:rFonts w:ascii="Arial" w:eastAsia="Times New Roman" w:hAnsi="Arial" w:cs="Arial"/>
          <w:sz w:val="18"/>
          <w:szCs w:val="20"/>
          <w:lang w:val="es-ES" w:eastAsia="es-ES"/>
        </w:rPr>
        <w:tab/>
        <w:t>Nombre de los licitantes e importe total de cada proposición;</w:t>
      </w:r>
    </w:p>
    <w:p w:rsidR="00CB1C33" w:rsidRPr="00CB1C33" w:rsidRDefault="00CB1C33" w:rsidP="00CB1C33">
      <w:pPr>
        <w:spacing w:after="50" w:line="195" w:lineRule="exact"/>
        <w:ind w:left="864" w:hanging="576"/>
        <w:jc w:val="both"/>
        <w:rPr>
          <w:rFonts w:ascii="Arial" w:eastAsia="Times New Roman" w:hAnsi="Arial" w:cs="Arial"/>
          <w:sz w:val="18"/>
          <w:szCs w:val="20"/>
          <w:lang w:val="es-ES" w:eastAsia="es-ES"/>
        </w:rPr>
      </w:pPr>
      <w:r w:rsidRPr="00CB1C33">
        <w:rPr>
          <w:rFonts w:ascii="Arial" w:eastAsia="Times New Roman" w:hAnsi="Arial" w:cs="Arial"/>
          <w:b/>
          <w:sz w:val="18"/>
          <w:szCs w:val="20"/>
          <w:lang w:val="es-ES" w:eastAsia="es-ES"/>
        </w:rPr>
        <w:t>IV.</w:t>
      </w:r>
      <w:r w:rsidRPr="00CB1C33">
        <w:rPr>
          <w:rFonts w:ascii="Arial" w:eastAsia="Times New Roman" w:hAnsi="Arial" w:cs="Arial"/>
          <w:sz w:val="18"/>
          <w:szCs w:val="20"/>
          <w:lang w:val="es-ES" w:eastAsia="es-ES"/>
        </w:rPr>
        <w:tab/>
        <w:t>Lugar, fecha y hora en que se dará a conocer el fallo de la licitación pública, y</w:t>
      </w:r>
    </w:p>
    <w:p w:rsidR="00CB1C33" w:rsidRPr="00CB1C33" w:rsidRDefault="00CB1C33" w:rsidP="00CB1C33">
      <w:pPr>
        <w:spacing w:after="50" w:line="195" w:lineRule="exact"/>
        <w:ind w:left="864" w:hanging="576"/>
        <w:jc w:val="both"/>
        <w:rPr>
          <w:rFonts w:ascii="Arial" w:eastAsia="Times New Roman" w:hAnsi="Arial" w:cs="Arial"/>
          <w:sz w:val="18"/>
          <w:szCs w:val="20"/>
          <w:lang w:val="es-ES" w:eastAsia="es-ES"/>
        </w:rPr>
      </w:pPr>
      <w:r w:rsidRPr="00CB1C33">
        <w:rPr>
          <w:rFonts w:ascii="Arial" w:eastAsia="Times New Roman" w:hAnsi="Arial" w:cs="Arial"/>
          <w:b/>
          <w:sz w:val="18"/>
          <w:szCs w:val="20"/>
          <w:lang w:val="es-ES" w:eastAsia="es-ES"/>
        </w:rPr>
        <w:t>V.</w:t>
      </w:r>
      <w:r w:rsidRPr="00CB1C33">
        <w:rPr>
          <w:rFonts w:ascii="Arial" w:eastAsia="Times New Roman" w:hAnsi="Arial" w:cs="Arial"/>
          <w:b/>
          <w:sz w:val="18"/>
          <w:szCs w:val="20"/>
          <w:lang w:val="es-ES" w:eastAsia="es-ES"/>
        </w:rPr>
        <w:tab/>
      </w:r>
      <w:r w:rsidRPr="00CB1C33">
        <w:rPr>
          <w:rFonts w:ascii="Arial" w:eastAsia="Times New Roman" w:hAnsi="Arial" w:cs="Arial"/>
          <w:sz w:val="18"/>
          <w:szCs w:val="20"/>
          <w:lang w:val="es-ES" w:eastAsia="es-ES"/>
        </w:rPr>
        <w:t>En su caso, hechos relevantes y manifestaciones a que haya lugar.</w:t>
      </w:r>
    </w:p>
    <w:p w:rsidR="00692AD0" w:rsidRPr="00CB1C33" w:rsidRDefault="00692AD0" w:rsidP="00692AD0">
      <w:pPr>
        <w:spacing w:after="64" w:line="240" w:lineRule="auto"/>
        <w:ind w:firstLine="288"/>
        <w:jc w:val="both"/>
        <w:rPr>
          <w:rFonts w:ascii="Arial" w:eastAsia="Times New Roman" w:hAnsi="Arial" w:cs="Arial"/>
          <w:b/>
          <w:sz w:val="18"/>
          <w:szCs w:val="24"/>
          <w:lang w:val="es-ES" w:eastAsia="es-ES"/>
        </w:rPr>
      </w:pPr>
      <w:bookmarkStart w:id="0" w:name="_GoBack"/>
      <w:bookmarkEnd w:id="0"/>
    </w:p>
    <w:sectPr w:rsidR="00692AD0" w:rsidRPr="00CB1C3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0071FD"/>
    <w:rsid w:val="00111CA8"/>
    <w:rsid w:val="002815CE"/>
    <w:rsid w:val="002955CA"/>
    <w:rsid w:val="00413DB3"/>
    <w:rsid w:val="00457BE9"/>
    <w:rsid w:val="00473543"/>
    <w:rsid w:val="00495979"/>
    <w:rsid w:val="005C1837"/>
    <w:rsid w:val="00692AD0"/>
    <w:rsid w:val="006950E2"/>
    <w:rsid w:val="006F7B91"/>
    <w:rsid w:val="00800CAE"/>
    <w:rsid w:val="00923585"/>
    <w:rsid w:val="009E4EBF"/>
    <w:rsid w:val="00A94018"/>
    <w:rsid w:val="00B32B83"/>
    <w:rsid w:val="00CB1C33"/>
    <w:rsid w:val="00EE42A6"/>
    <w:rsid w:val="00F020DB"/>
    <w:rsid w:val="00F5142C"/>
    <w:rsid w:val="00F719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1697</Words>
  <Characters>9338</Characters>
  <Application>Microsoft Office Word</Application>
  <DocSecurity>0</DocSecurity>
  <Lines>77</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2</cp:revision>
  <dcterms:created xsi:type="dcterms:W3CDTF">2013-04-16T17:08:00Z</dcterms:created>
  <dcterms:modified xsi:type="dcterms:W3CDTF">2013-04-16T17:08:00Z</dcterms:modified>
</cp:coreProperties>
</file>